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before="0" w:after="0" w:line="240" w:lineRule="auto"/>
        <w:jc w:val="right"/>
      </w:pPr>
      <w:r>
        <w:rPr>
          <w:rFonts w:ascii="Times New Roman" w:hAnsi="Times New Roman" w:eastAsia="Times New Roman"/>
          <w:b/>
          <w:i w:val="0"/>
          <w:sz w:val="22"/>
        </w:rPr>
        <w:t>УТВЕРЖДЕНО</w:t>
        <w:br/>
      </w:r>
      <w:r>
        <w:rPr>
          <w:rFonts w:ascii="Times New Roman" w:hAnsi="Times New Roman" w:eastAsia="Times New Roman"/>
          <w:b w:val="0"/>
          <w:i w:val="0"/>
          <w:sz w:val="22"/>
        </w:rPr>
        <w:t>директором ООО «Дом сестринского ухода Благо»</w:t>
        <w:br/>
      </w:r>
      <w:r>
        <w:rPr>
          <w:rFonts w:ascii="Times New Roman" w:hAnsi="Times New Roman" w:eastAsia="Times New Roman"/>
          <w:b w:val="0"/>
          <w:i w:val="0"/>
          <w:sz w:val="22"/>
        </w:rPr>
        <w:t>________________ /Шедов К.А./</w:t>
        <w:br/>
      </w:r>
      <w:r>
        <w:rPr>
          <w:rFonts w:ascii="Times New Roman" w:hAnsi="Times New Roman" w:eastAsia="Times New Roman"/>
          <w:b w:val="0"/>
          <w:i w:val="0"/>
          <w:sz w:val="22"/>
        </w:rPr>
        <w:t>16 апреля 2026 года</w:t>
        <w:br/>
      </w:r>
    </w:p>
    <w:p>
      <w:pPr>
        <w:keepNext w:val="0"/>
        <w:spacing w:before="480" w:after="160" w:line="264" w:lineRule="auto"/>
        <w:jc w:val="center"/>
      </w:pPr>
      <w:r>
        <w:rPr>
          <w:rFonts w:ascii="Times New Roman" w:hAnsi="Times New Roman" w:eastAsia="Times New Roman"/>
          <w:b/>
          <w:i w:val="0"/>
          <w:color w:val="1F4E78"/>
          <w:sz w:val="36"/>
        </w:rPr>
        <w:t>ПОЛИТИКА</w:t>
        <w:br/>
      </w:r>
      <w:r>
        <w:rPr>
          <w:rFonts w:ascii="Times New Roman" w:hAnsi="Times New Roman" w:eastAsia="Times New Roman"/>
          <w:b/>
          <w:i w:val="0"/>
          <w:color w:val="1F4E78"/>
          <w:sz w:val="36"/>
        </w:rPr>
        <w:t>в отношении обработки персональных данных</w:t>
      </w:r>
    </w:p>
    <w:p>
      <w:pPr>
        <w:keepNext w:val="0"/>
        <w:spacing w:before="0" w:after="280" w:line="276" w:lineRule="auto"/>
        <w:jc w:val="center"/>
      </w:pPr>
      <w:r>
        <w:rPr>
          <w:rFonts w:ascii="Times New Roman" w:hAnsi="Times New Roman" w:eastAsia="Times New Roman"/>
          <w:b/>
          <w:i w:val="0"/>
          <w:sz w:val="30"/>
        </w:rPr>
        <w:t>Общество с ограниченной ответственностью</w:t>
        <w:br/>
        <w:t>«Дом сестринского ухода Благо»</w:t>
      </w:r>
    </w:p>
    <w:p>
      <w:pPr>
        <w:keepNext w:val="0"/>
        <w:spacing w:before="0" w:after="320" w:line="276" w:lineRule="auto"/>
        <w:jc w:val="center"/>
      </w:pPr>
      <w:r>
        <w:rPr>
          <w:rFonts w:ascii="Times New Roman" w:hAnsi="Times New Roman" w:eastAsia="Times New Roman"/>
          <w:b w:val="0"/>
          <w:i/>
          <w:color w:val="5B5B5B"/>
          <w:sz w:val="22"/>
        </w:rPr>
        <w:t>для размещения на официальном сайте www.blago-perm.ru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A8B4C0"/>
          <w:left w:val="single" w:sz="6" w:space="0" w:color="A8B4C0"/>
          <w:bottom w:val="single" w:sz="6" w:space="0" w:color="A8B4C0"/>
          <w:right w:val="single" w:sz="6" w:space="0" w:color="A8B4C0"/>
          <w:insideH w:val="single" w:sz="6" w:space="0" w:color="A8B4C0"/>
          <w:insideV w:val="single" w:sz="6" w:space="0" w:color="A8B4C0"/>
        </w:tblBorders>
      </w:tblPr>
      <w:tblGrid>
        <w:gridCol w:w="4986"/>
        <w:gridCol w:w="4986"/>
      </w:tblGrid>
      <w:tr>
        <w:trPr/>
        <w:tc>
          <w:tcPr>
            <w:tcW w:type="dxa" w:w="2948"/>
            <w:vAlign w:val="center"/>
            <w:tcMar>
              <w:top w:w="110" w:type="dxa"/>
              <w:start w:w="130" w:type="dxa"/>
              <w:bottom w:w="110" w:type="dxa"/>
              <w:end w:w="130" w:type="dxa"/>
            </w:tcMar>
            <w:shd w:fill="EAF1F8"/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1F4E78"/>
                <w:sz w:val="22"/>
              </w:rPr>
              <w:t>Редакция</w:t>
            </w:r>
          </w:p>
        </w:tc>
        <w:tc>
          <w:tcPr>
            <w:tcW w:type="dxa" w:w="6009"/>
            <w:vAlign w:val="center"/>
            <w:tcMar>
              <w:top w:w="110" w:type="dxa"/>
              <w:start w:w="130" w:type="dxa"/>
              <w:bottom w:w="110" w:type="dxa"/>
              <w:end w:w="13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1F1F1F"/>
                <w:sz w:val="22"/>
              </w:rPr>
              <w:t>1.0</w:t>
            </w:r>
          </w:p>
        </w:tc>
      </w:tr>
      <w:tr>
        <w:trPr/>
        <w:tc>
          <w:tcPr>
            <w:tcW w:type="dxa" w:w="2948"/>
            <w:vAlign w:val="center"/>
            <w:tcMar>
              <w:top w:w="110" w:type="dxa"/>
              <w:start w:w="130" w:type="dxa"/>
              <w:bottom w:w="110" w:type="dxa"/>
              <w:end w:w="130" w:type="dxa"/>
            </w:tcMar>
            <w:shd w:fill="EAF1F8"/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1F4E78"/>
                <w:sz w:val="22"/>
              </w:rPr>
              <w:t>Дата введения в действие</w:t>
            </w:r>
          </w:p>
        </w:tc>
        <w:tc>
          <w:tcPr>
            <w:tcW w:type="dxa" w:w="6009"/>
            <w:vAlign w:val="center"/>
            <w:tcMar>
              <w:top w:w="110" w:type="dxa"/>
              <w:start w:w="130" w:type="dxa"/>
              <w:bottom w:w="110" w:type="dxa"/>
              <w:end w:w="13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1F1F1F"/>
                <w:sz w:val="22"/>
              </w:rPr>
              <w:t>16 апреля 2026 года</w:t>
            </w:r>
          </w:p>
        </w:tc>
      </w:tr>
      <w:tr>
        <w:trPr/>
        <w:tc>
          <w:tcPr>
            <w:tcW w:type="dxa" w:w="2948"/>
            <w:vAlign w:val="center"/>
            <w:tcMar>
              <w:top w:w="110" w:type="dxa"/>
              <w:start w:w="130" w:type="dxa"/>
              <w:bottom w:w="110" w:type="dxa"/>
              <w:end w:w="130" w:type="dxa"/>
            </w:tcMar>
            <w:shd w:fill="EAF1F8"/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1F4E78"/>
                <w:sz w:val="22"/>
              </w:rPr>
              <w:t>Оператор</w:t>
            </w:r>
          </w:p>
        </w:tc>
        <w:tc>
          <w:tcPr>
            <w:tcW w:type="dxa" w:w="6009"/>
            <w:vAlign w:val="center"/>
            <w:tcMar>
              <w:top w:w="110" w:type="dxa"/>
              <w:start w:w="130" w:type="dxa"/>
              <w:bottom w:w="110" w:type="dxa"/>
              <w:end w:w="13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1F1F1F"/>
                <w:sz w:val="22"/>
              </w:rPr>
              <w:t>ООО «Дом сестринского ухода Благо»</w:t>
            </w:r>
          </w:p>
        </w:tc>
      </w:tr>
      <w:tr>
        <w:trPr/>
        <w:tc>
          <w:tcPr>
            <w:tcW w:type="dxa" w:w="2948"/>
            <w:vAlign w:val="center"/>
            <w:tcMar>
              <w:top w:w="110" w:type="dxa"/>
              <w:start w:w="130" w:type="dxa"/>
              <w:bottom w:w="110" w:type="dxa"/>
              <w:end w:w="130" w:type="dxa"/>
            </w:tcMar>
            <w:shd w:fill="EAF1F8"/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1F4E78"/>
                <w:sz w:val="22"/>
              </w:rPr>
              <w:t>Адрес</w:t>
            </w:r>
          </w:p>
        </w:tc>
        <w:tc>
          <w:tcPr>
            <w:tcW w:type="dxa" w:w="6009"/>
            <w:vAlign w:val="center"/>
            <w:tcMar>
              <w:top w:w="110" w:type="dxa"/>
              <w:start w:w="130" w:type="dxa"/>
              <w:bottom w:w="110" w:type="dxa"/>
              <w:end w:w="13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1F1F1F"/>
                <w:sz w:val="22"/>
              </w:rPr>
              <w:t>614051, г. Пермь, ул. Юрша, дом 11</w:t>
            </w:r>
          </w:p>
        </w:tc>
      </w:tr>
      <w:tr>
        <w:trPr/>
        <w:tc>
          <w:tcPr>
            <w:tcW w:type="dxa" w:w="2948"/>
            <w:vAlign w:val="center"/>
            <w:tcMar>
              <w:top w:w="110" w:type="dxa"/>
              <w:start w:w="130" w:type="dxa"/>
              <w:bottom w:w="110" w:type="dxa"/>
              <w:end w:w="130" w:type="dxa"/>
            </w:tcMar>
            <w:shd w:fill="EAF1F8"/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1F4E78"/>
                <w:sz w:val="22"/>
              </w:rPr>
              <w:t>Контакты</w:t>
            </w:r>
          </w:p>
        </w:tc>
        <w:tc>
          <w:tcPr>
            <w:tcW w:type="dxa" w:w="6009"/>
            <w:vAlign w:val="center"/>
            <w:tcMar>
              <w:top w:w="110" w:type="dxa"/>
              <w:start w:w="130" w:type="dxa"/>
              <w:bottom w:w="110" w:type="dxa"/>
              <w:end w:w="13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1F1F1F"/>
                <w:sz w:val="22"/>
              </w:rPr>
              <w:t>blago-perm@mail.ru • +7 (342) 206-99-91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B656"/>
          <w:left w:val="single" w:sz="8" w:space="0" w:color="D6B656"/>
          <w:bottom w:val="single" w:sz="8" w:space="0" w:color="D6B656"/>
          <w:right w:val="single" w:sz="8" w:space="0" w:color="D6B656"/>
          <w:insideH w:val="single" w:sz="8" w:space="0" w:color="D6B656"/>
          <w:insideV w:val="single" w:sz="8" w:space="0" w:color="D6B656"/>
        </w:tblBorders>
      </w:tblPr>
      <w:tblGrid>
        <w:gridCol w:w="9972"/>
      </w:tblGrid>
      <w:tr>
        <w:tc>
          <w:tcPr>
            <w:tcW w:type="dxa" w:w="8957"/>
            <w:shd w:fill="FFF6D7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keepNext w:val="0"/>
              <w:spacing w:before="0" w:after="0" w:line="264" w:lineRule="auto"/>
            </w:pPr>
            <w:r>
              <w:rPr>
                <w:rFonts w:ascii="Times New Roman" w:hAnsi="Times New Roman" w:eastAsia="Times New Roman"/>
                <w:b/>
                <w:i w:val="0"/>
                <w:sz w:val="24"/>
              </w:rPr>
              <w:t>Назначение документа.</w:t>
            </w: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 xml:space="preserve"> Настоящая редакция подготовлена как общедоступная политика для публикации на сайте и описывает порядок обработки персональных данных, а также основные меры их защиты.</w:t>
            </w:r>
          </w:p>
        </w:tc>
      </w:tr>
    </w:tbl>
    <w:p/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1. Общие положения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1.1. Настоящая Политика общества с ограниченной ответственностью «Дом сестринского ухода Благо» в отношении обработки персональных данных (далее - Политика) разработана в соответствии с Конституцией Российской Федерации, Федеральным законом от 27.07.2006 N 152-ФЗ «О персональных данных», Федеральным законом от 21.11.2011 N 323-ФЗ «Об основах охраны здоровья граждан в Российской Федерации», Федеральным законом от 28.12.2013 N 442-ФЗ «Об основах социального обслуживания граждан в Российской Федерации», иными федеральными законами и подзаконными актами Российской Федерации.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1.2. Политика определяет порядок обработки персональных данных и сведения о реализуемых требованиях к защите персональных данных в ООО «Дом сестринского ухода Благо» (далее - Оператор), в том числе при использовании официального сайта www.blago-perm.ru.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1.3. Политика является общедоступным документом и размещается в сети Интернет на официальном сайте Оператора.</w:t>
      </w:r>
    </w:p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Сведения об операторе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Полное наименование: Общество с ограниченной ответственностью «Дом сестринского ухода Благо».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ОГРН: 1155958097778. ИНН: 5906132679. Дата государственной регистрации: 06.10.2015.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Юридический и фактический адрес: 614051, г. Пермь, ул. Юрша, дом 11.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Сайт: www.blago-perm.ru. Электронная почта: blago-perm@mail.ru. Телефон: +7 (342) 206-99-91.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Руководитель: директор Шедов Константин Александрович.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Филиалы и обособленные подразделения отсутствуют.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Оператор осуществляет деятельность по оказанию социальных услуг в стационарной форме, а также медицинскую деятельность в пределах действующей лицензии, и в связи с этим вправе обрабатывать персональные данные в объеме, необходимом для достижения законных и заранее определенных целей.</w:t>
      </w:r>
    </w:p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2. Основные термины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Для целей Политики используются термины в значениях, установленных законодательством Российской Федерации о персональных данных.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Под сайтом понимается официальный сайт Оператора, доступный по адресу www.blago-perm.ru.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Под пользователем сайта понимается любое лицо, посещающее сайт либо использующее размещенные на нем сервисы, формы, адреса электронной почты, телефонные номера и иные каналы связи.</w:t>
      </w:r>
    </w:p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3. Цели обработки персональных данных</w:t>
      </w:r>
    </w:p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4. Принципы обработки персональных данных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Оператор обрабатывает персональные данные исключительно для следующих целей: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обеспечения работы сайта, сетевой безопасности, корректного отображения страниц, ведения журналов событий и защиты сайта от злоупотреблений;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приема и обработки обращений, запросов, звонков, электронных писем, заявок на консультацию, обратную связь, посещение учреждения, запросов на предоставление документов и иной коммуникации с пользователями;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организации заключения, исполнения, изменения и прекращения договоров на оказание социальных услуг;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ведения листа ожидания, рассмотрения документов, предоставляемых гражданами и их законными представителями, а также взаимодействия по вопросам приема на социальное обслуживание;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выполнения обязанностей, возложенных на Оператор законодательством Российской Федерации в сфере социального обслуживания, здравоохранения, бухгалтерского, налогового, архивного, трудового и иного обязательного учета;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оказания социальных услуг и медицинской помощи в объеме, необходимом для деятельности Оператора;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подбора персонала, рассмотрения резюме и собеседований с кандидатами;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исполнения договоров с контрагентами и ведения деловой переписки.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Оператор при обработке персональных данных руководствуется следующими принципами: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законность и справедливая основа обработки;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обработка только тех персональных данных, которые отвечают целям их обработки;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недопущение обработки персональных данных, несовместимой с целями сбора персональных данных;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недопущение избыточности персональных данных по отношению к заявленным целям обработки;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обеспечение точности, достаточности и актуальности персональных данных;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хранение персональных данных не дольше, чем этого требуют цели обработки, если иной срок хранения не установлен законом, договором или согласием субъекта персональных данных;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уничтожение или обезличивание персональных данных по достижении целей обработки либо при утрате необходимости в их достижении, если иное не предусмотрено законодательством Российской Федерации.</w:t>
      </w:r>
    </w:p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5. Категории субъектов персональных данных и состав обрабатываемых данных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5.1. Оператор может обрабатывать персональные данные следующих категорий субъектов: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посетители сайта;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лица, направившие обращения по телефону, электронной почте, через формы сайта либо иным способом;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граждане, претендующие на получение социальных услуг, получатели социальных услуг, их родственники, представители, законные представители, попечители, опекуны, иные уполномоченные лица;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пациенты в части данных, необходимых для оказания медицинской помощи в пределах лицензируемой деятельности;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соискатели вакансий;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работники и бывшие работники;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представители контрагентов, подрядчиков и партнеров.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5.2. В зависимости от конкретной цели Оператор может обрабатывать, в частности: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фамилию, имя, отчество;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номер телефона;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адрес электронной почты;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адрес места жительства (пребывания);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паспортные данные и иные реквизиты документов, удостоверяющих личность;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сведения о семейных и родственных связях, если это необходимо для заключения и исполнения договора либо подтверждения полномочий представителя;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сведения о заключении, исполнении и оплате договора;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аудиовизуальные и иные сведения, передаваемые субъектом по собственной инициативе;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данные, автоматически передаваемые устройством пользователя при использовании сайта, включая IP-адрес, сведения о браузере и устройстве, дату и время доступа, адреса запрошенных страниц, cookie-файлы и аналогичные технологии - в объеме, необходимом для функционирования сайта и при наличии соответствующих настроек и сервисов;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сведения о состоянии здоровья и иные специальные категории персональных данных - только в случаях, прямо предусмотренных законодательством Российской Федерации, необходимых для оказания социальных услуг и медицинской помощи, либо при наличии надлежащего правового основания и согласия, когда такое согласие требуется.</w:t>
      </w:r>
    </w:p>
    <w:p>
      <w:pPr>
        <w:keepNext w:val="0"/>
        <w:spacing w:before="120" w:after="80" w:line="276" w:lineRule="auto"/>
      </w:pPr>
      <w:r>
        <w:rPr>
          <w:rFonts w:ascii="Times New Roman" w:hAnsi="Times New Roman" w:eastAsia="Times New Roman"/>
          <w:b/>
          <w:i w:val="0"/>
          <w:color w:val="2F5597"/>
          <w:sz w:val="24"/>
        </w:rPr>
        <w:t>Сводная таблица по основным категориям обработки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A8B4C0"/>
          <w:left w:val="single" w:sz="6" w:space="0" w:color="A8B4C0"/>
          <w:bottom w:val="single" w:sz="6" w:space="0" w:color="A8B4C0"/>
          <w:right w:val="single" w:sz="6" w:space="0" w:color="A8B4C0"/>
          <w:insideH w:val="single" w:sz="6" w:space="0" w:color="A8B4C0"/>
          <w:insideV w:val="single" w:sz="6" w:space="0" w:color="A8B4C0"/>
        </w:tblBorders>
      </w:tblPr>
      <w:tblGrid>
        <w:gridCol w:w="3324"/>
        <w:gridCol w:w="3324"/>
        <w:gridCol w:w="3324"/>
      </w:tblGrid>
      <w:tr>
        <w:trPr>
          <w:tblHeader w:val="true"/>
        </w:trPr>
        <w:tc>
          <w:tcPr>
            <w:tcW w:type="dxa" w:w="2324"/>
            <w:vAlign w:val="center"/>
            <w:shd w:fill="D9EAF7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color w:val="1F4E78"/>
                <w:sz w:val="21"/>
              </w:rPr>
              <w:t>Категория субъектов</w:t>
            </w:r>
          </w:p>
        </w:tc>
        <w:tc>
          <w:tcPr>
            <w:tcW w:type="dxa" w:w="3005"/>
            <w:vAlign w:val="center"/>
            <w:shd w:fill="D9EAF7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color w:val="1F4E78"/>
                <w:sz w:val="21"/>
              </w:rPr>
              <w:t>Основные цели</w:t>
            </w:r>
          </w:p>
        </w:tc>
        <w:tc>
          <w:tcPr>
            <w:tcW w:type="dxa" w:w="3628"/>
            <w:vAlign w:val="center"/>
            <w:shd w:fill="D9EAF7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color w:val="1F4E78"/>
                <w:sz w:val="21"/>
              </w:rPr>
              <w:t>Обычно обрабатываемые данные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Посетители сайта</w:t>
            </w:r>
          </w:p>
        </w:tc>
        <w:tc>
          <w:tcPr>
            <w:tcW w:type="dxa" w:w="3005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Функционирование сайта, безопасность, статистика, обратная связь</w:t>
            </w:r>
          </w:p>
        </w:tc>
        <w:tc>
          <w:tcPr>
            <w:tcW w:type="dxa" w:w="362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IP-адрес, дата и время доступа, сведения о браузере и устройстве, cookie, сведения из обращения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Обратившиеся лица</w:t>
            </w:r>
          </w:p>
        </w:tc>
        <w:tc>
          <w:tcPr>
            <w:tcW w:type="dxa" w:w="3005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Обработка заявок, ответы на письма и звонки, запись на консультацию</w:t>
            </w:r>
          </w:p>
        </w:tc>
        <w:tc>
          <w:tcPr>
            <w:tcW w:type="dxa" w:w="362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ФИО, телефон, e-mail, содержание обращения, приложенные документы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Получатели соцуслуг и представители</w:t>
            </w:r>
          </w:p>
        </w:tc>
        <w:tc>
          <w:tcPr>
            <w:tcW w:type="dxa" w:w="3005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Лист ожидания, договор, оказание услуг, расчеты, уведомления</w:t>
            </w:r>
          </w:p>
        </w:tc>
        <w:tc>
          <w:tcPr>
            <w:tcW w:type="dxa" w:w="362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ФИО, контакты, адрес, паспортные данные, документы представителя, платежные сведения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Пациенты</w:t>
            </w:r>
          </w:p>
        </w:tc>
        <w:tc>
          <w:tcPr>
            <w:tcW w:type="dxa" w:w="3005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Оказание медицинской помощи в пределах лицензии</w:t>
            </w:r>
          </w:p>
        </w:tc>
        <w:tc>
          <w:tcPr>
            <w:tcW w:type="dxa" w:w="362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Идентификационные данные, медицинские документы, сведения о состоянии здоровья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Соискатели и работники</w:t>
            </w:r>
          </w:p>
        </w:tc>
        <w:tc>
          <w:tcPr>
            <w:tcW w:type="dxa" w:w="3005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Подбор персонала, трудовые отношения, учет и отчетность</w:t>
            </w:r>
          </w:p>
        </w:tc>
        <w:tc>
          <w:tcPr>
            <w:tcW w:type="dxa" w:w="362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ФИО, контакты, резюме, документы, предусмотренные трудовым законодательством</w:t>
            </w:r>
          </w:p>
        </w:tc>
      </w:tr>
      <w:tr>
        <w:tc>
          <w:tcPr>
            <w:tcW w:type="dxa" w:w="232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Контрагенты</w:t>
            </w:r>
          </w:p>
        </w:tc>
        <w:tc>
          <w:tcPr>
            <w:tcW w:type="dxa" w:w="3005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Заключение и исполнение договоров, деловая переписка</w:t>
            </w:r>
          </w:p>
        </w:tc>
        <w:tc>
          <w:tcPr>
            <w:tcW w:type="dxa" w:w="362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ФИО представителей, должность, контакты, реквизиты по договору</w:t>
            </w:r>
          </w:p>
        </w:tc>
      </w:tr>
    </w:tbl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6. Правовые основания обработки персональных данных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Правовыми основаниями обработки персональных данных являются: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Конституция Российской Федерации;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от 27.07.2006 N 152-ФЗ «О персональных данных»;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от 28.12.2013 N 442-ФЗ «Об основах социального обслуживания граждан в Российской Федерации»;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от 21.11.2011 N 323-ФЗ «Об основах охраны здоровья граждан в Российской Федерации»;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Гражданский кодекс Российской Федерации;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Трудовой кодекс Российской Федерации;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кодекс Российской Федерации;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иные федеральные законы и подзаконные нормативные правовые акты Российской Федерации;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договоры, заключаемые между Оператором и субъектами персональных данных либо в их интересах;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согласия субъектов персональных данных на обработку персональных данных, когда получение такого согласия требуется по закону.</w:t>
      </w:r>
    </w:p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7. Особенности обработки персональных данных на сайте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7.1. При посещении сайта может осуществляться обработка технических данных, необходимых для корректной работы сайта, обеспечения информационной безопасности, ведения статистики посещаемости, диагностики технических сбоев и защиты сайта от неправомерных действий.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7.2. Если на сайте используются формы обратной связи, формы записи, заказа обратного звонка, направления документов, отправки сообщений или иные интерактивные формы, до отправки формы пользователю должна быть предоставлена возможность ознакомиться с настоящей Политикой и, при необходимости, предоставить согласие на обработку персональных данных путем совершения активного действия (например, установки отметки в чек-боксе).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7.3. Пользователь обязан не направлять через общедоступные формы сайта и общие адреса электронной почты специальные категории персональных данных, в том числе подробные сведения о состоянии здоровья, диагнозах, результатах обследований и иной чувствительной информации, если иное прямо не предусмотрено отдельной защищенной формой, отдельным согласием или специальным порядком приема таких документов.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7.4. Оператор не использует персональные данные пользователей сайта для принятия решений, порождающих юридические последствия в отношении субъекта персональных данных, исключительно на основании автоматизированной обработки.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7.5. В случае использования аналитических сервисов, систем веб-статистики, cookie-файлов, пикселей, тегов и аналогичных технологий Оператор обеспечивает их применение в объеме, необходимом для заявленных целей, с учетом настроек пользователя, требований законодательства Российской Федерации и содержания настоящей Политики.</w:t>
      </w:r>
    </w:p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8. Условия обработки специальных категорий персональных данных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8.1. Оператор вправе обрабатывать специальные категории персональных данных, касающиеся состояния здоровья, только в случаях и порядке, предусмотренных законодательством Российской Федерации, в том числе когда такая обработка необходима для оказания медицинской помощи, осуществления социального обслуживания, защиты жизни и здоровья субъекта либо иных лиц, а также в иных случаях, предусмотренных Федеральным законом «О персональных данных».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8.2. Биометрические персональные данные обрабатываются Оператором только при наличии законных оснований и с соблюдением специальных требований законодательства Российской Федерации. Если обработка биометрических персональных данных в деятельности Оператора не осуществляется, такие данные не собираются и не используются.</w:t>
      </w:r>
    </w:p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9. Порядок и условия обработки персональных данных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9.1. Обработка персональных данных осуществляется как с использованием средств автоматизации, так и без использования таких средств, а также смешанным способом.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9.2. Оператор осуществляет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 в случаях, предусмотренных законодательством Российской Федерации или договором, обезличивание, блокирование, удаление, уничтожение.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9.3. Персональные данные обрабатываются Оператором самостоятельно, а также могут обрабатываться лицами, привлеченными Оператором на основании договора поручения обработки персональных данных либо договора на оказание соответствующих услуг, если это необходимо для достижения целей обработки и допускается законодательством Российской Федерации.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9.4. К таким лицам могут относиться, в частности, организации, обеспечивающие хостинг сайта, техническую поддержку, обслуживание информационных систем, связь, бухгалтерское и юридическое сопровождение, а также иные подрядчики, которым персональные данные предоставляются в минимально необходимом объеме.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9.5. В случаях, установленных законодательством Российской Федерации, Оператор может предоставлять персональные данные государственным органам, органам местного самоуправления, медицинским организациям, страховым организациям, банкам, архивным организациям и иным уполномоченным лицам.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9.6. Оператор не размещает персональные данные в общедоступных источниках без наличия отдельного законного основания или отдельного согласия субъекта персональных данных, если такое согласие требуется.</w:t>
      </w:r>
    </w:p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10. Локализация баз данных и трансграничная передача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10.1. При сборе персональных данных граждан Российской Федерации с использованием сайта Оператор обеспечивает запись, систематизацию, накопление, хранение, уточнение (обновление, изменение) и извлечение таких персональных данных с использованием баз данных, находящихся на территории Российской Федерации.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10.2. Трансграничная передача персональных данных Оператором не осуществляется, за исключением случаев, когда такая передача будет необходима и допустима по законодательству Российской Федерации. В таком случае Оператор предварительно выполнит все обязательные требования законодательства, включая оценку допустимости такой передачи и направление необходимых уведомлений, если они требуются.</w:t>
      </w:r>
    </w:p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11. Сроки обработки и хранения персональных данных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11.1. Персональные данные обрабатываются и хранятся не дольше, чем этого требуют цели обработки, если иной срок не установлен федеральным законом, договором, условиями лицензируемой деятельности, правилами архивного хранения документов или согласием субъекта персональных данных.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11.2. По достижении целей обработки, при утрате необходимости в их достижении, по истечении установленных сроков хранения либо в случае отзыва согласия субъектом персональных данных Оператор прекращает обработку и уничтожает персональные данные либо обеспечивает их уничтожение в порядке и сроки, предусмотренные законодательством Российской Федерации, если иное не предусмотрено законом.</w:t>
      </w:r>
    </w:p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12. Права субъекта персональных данных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Субъект персональных данных вправе: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получать сведения, касающиеся обработки его персональных данных, в объеме, порядке и сроки, установленные законодательством Российской Федерации;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требовать уточнения, блокирования или уничтожения своих персональных данных,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отозвать согласие на обработку персональных данных в случаях, когда обработка основана на согласии;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обжаловать действия или бездействие Оператора в уполномоченный орган по защите прав субъектов персональных данных или в судебном порядке;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осуществлять иные права, предусмотренные законодательством Российской Федерации.</w:t>
      </w:r>
    </w:p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13. Меры по обеспечению безопасности персональных данных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13.1.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13.2. К таким мерам относятся, в частности: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назначение лица, ответственного за организацию обработки персональных данных;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принятие локальных актов по вопросам обработки и защиты персональных данных;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определение перечня лиц, имеющих доступ к персональным данным, разграничение и учет прав доступа;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применение антивирусной защиты, паролей, резервного копирования, журналирования, средств защиты информации и иных мер безопасности с учетом характера обрабатываемых данных;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внутренний контроль и, при необходимости, аудит соответствия обработки персональных данных требованиям законодательства Российской Федерации и локальных актов Оператора;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ознакомление работников, допущенных к обработке персональных данных, с требованиями законодательства Российской Федерации и локальными актами Оператора;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обеспечение сохранности носителей персональных данных и контроля доступа в помещения, где осуществляется обработка персональных данных;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порядка реагирования на инциденты и нарушения безопасности персональных данных.</w:t>
      </w:r>
    </w:p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14. Порядок обращения субъектов персональных данных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14.1. По вопросам обработки персональных данных, реализации прав субъекта персональных данных, отзыва согласия, уточнения или удаления персональных данных субъект может обратиться к Оператору: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по адресу: 614051, г. Пермь, ул. Юрша, дом 11;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по электронной почте: blago-perm@mail.ru;</w:t>
      </w:r>
    </w:p>
    <w:p>
      <w:pPr>
        <w:pStyle w:val="ListBullet"/>
        <w:keepNext w:val="0"/>
        <w:spacing w:before="0" w:after="40" w:line="264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по телефону: +7 (342) 206-99-91.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14.2. Для обеспечения законности рассмотрения обращения Оператор вправе запросить сведения, позволяющие достоверно идентифицировать заявителя и его полномочия.</w:t>
      </w:r>
    </w:p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15. Заключительные положения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15.1. Настоящая Политика действует бессрочно до принятия новой редакции.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15.2. Оператор вправе вносить изменения в Политику. Актуальная редакция Политики размещается на сайте Оператора.</w:t>
      </w:r>
    </w:p>
    <w:p>
      <w:pPr>
        <w:keepNext w:val="0"/>
        <w:spacing w:before="0" w:after="80" w:line="276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15.3. Если отдельные сервисы сайта, формы, виджеты, системы аналитики, онлайн-оплаты, личные кабинеты, интеграции с мессенджерами, CRM, коллтрекинг или иные цифровые инструменты будут внедряться или изменяться, Оператор обязан актуализировать настоящую Политику, тексты согласий и состав размещаемых на сайте уведомлений в части, касающейся фактически осуществляемой обработки персональных данных.</w:t>
      </w:r>
    </w:p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Приложение 1. Рекомендуемый текст для чек-бокса формы обратной связи на сайте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A8B4C0"/>
          <w:left w:val="single" w:sz="6" w:space="0" w:color="A8B4C0"/>
          <w:bottom w:val="single" w:sz="6" w:space="0" w:color="A8B4C0"/>
          <w:right w:val="single" w:sz="6" w:space="0" w:color="A8B4C0"/>
          <w:insideH w:val="single" w:sz="6" w:space="0" w:color="A8B4C0"/>
          <w:insideV w:val="single" w:sz="6" w:space="0" w:color="A8B4C0"/>
        </w:tblBorders>
      </w:tblPr>
      <w:tblGrid>
        <w:gridCol w:w="9972"/>
      </w:tblGrid>
      <w:tr>
        <w:tc>
          <w:tcPr>
            <w:tcW w:type="dxa" w:w="8957"/>
            <w:shd w:fill="F5F7FA"/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pPr>
              <w:keepNext w:val="0"/>
              <w:spacing w:before="0" w:after="0" w:line="264" w:lineRule="auto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«Нажимая кнопку “Отправить” (или иную аналогичную кнопку), я подтверждаю, что ознакомлен(а) с Политикой в отношении обработки персональных данных ООО “Дом сестринского ухода Благо”, размещенной на сайте www.blago-perm.ru, и даю согласие на обработку моих персональных данных, указанных в форме обращения, в целях рассмотрения обращения и обратной связи».</w:t>
            </w:r>
          </w:p>
        </w:tc>
      </w:tr>
    </w:tbl>
    <w:p>
      <w:pPr>
        <w:keepNext/>
        <w:spacing w:before="200" w:after="80" w:line="240" w:lineRule="auto"/>
      </w:pPr>
      <w:r>
        <w:rPr>
          <w:rFonts w:ascii="Times New Roman" w:hAnsi="Times New Roman" w:eastAsia="Times New Roman"/>
          <w:b/>
          <w:i w:val="0"/>
          <w:color w:val="1F4E78"/>
          <w:sz w:val="28"/>
        </w:rPr>
        <w:t>Приложение 2. Краткое уведомление о cookie-файлах для размещения на сайте при использовании таких технологий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A8B4C0"/>
          <w:left w:val="single" w:sz="6" w:space="0" w:color="A8B4C0"/>
          <w:bottom w:val="single" w:sz="6" w:space="0" w:color="A8B4C0"/>
          <w:right w:val="single" w:sz="6" w:space="0" w:color="A8B4C0"/>
          <w:insideH w:val="single" w:sz="6" w:space="0" w:color="A8B4C0"/>
          <w:insideV w:val="single" w:sz="6" w:space="0" w:color="A8B4C0"/>
        </w:tblBorders>
      </w:tblPr>
      <w:tblGrid>
        <w:gridCol w:w="9972"/>
      </w:tblGrid>
      <w:tr>
        <w:tc>
          <w:tcPr>
            <w:tcW w:type="dxa" w:w="8957"/>
            <w:shd w:fill="F5F7FA"/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pPr>
              <w:keepNext w:val="0"/>
              <w:spacing w:before="0" w:after="0" w:line="264" w:lineRule="auto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«Сайт может использовать cookie-файлы и аналогичные технологии для корректной работы, обеспечения безопасности и анализа использования сайта. Продолжая пользоваться сайтом и совершая активные действия, предусмотренные интерфейсом сайта, пользователь подтверждает ознакомление с Политикой в отношении обработки персональных данных. Пользователь может изменить настройки cookie в своем браузере».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 w:val="0"/>
        <w:color w:val="6A6F73"/>
        <w:sz w:val="18"/>
      </w:rPr>
      <w:t>ООО «Дом сестринского ухода Благо» • Политика в отношении обработки персональных данных • редакция 1.0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